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98712">
      <w:pPr>
        <w:snapToGrid w:val="0"/>
        <w:spacing w:before="156" w:after="312" w:afterLines="100" w:line="560" w:lineRule="exact"/>
        <w:rPr>
          <w:rFonts w:ascii="Times New Roman" w:hAnsi="Times New Roman" w:eastAsia="黑体" w:cs="Times New Roman"/>
          <w:b/>
          <w:sz w:val="32"/>
          <w:szCs w:val="32"/>
        </w:rPr>
      </w:pPr>
      <w:bookmarkStart w:id="0" w:name="_Toc13344"/>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rPr>
        <w:t>3</w:t>
      </w:r>
    </w:p>
    <w:p w14:paraId="382F8E2A">
      <w:pPr>
        <w:snapToGrid w:val="0"/>
        <w:spacing w:before="156" w:after="156" w:line="288" w:lineRule="auto"/>
        <w:jc w:val="center"/>
        <w:rPr>
          <w:rFonts w:ascii="Times New Roman" w:hAnsi="Times New Roman" w:eastAsia="黑体" w:cs="Times New Roman"/>
          <w:bCs/>
          <w:sz w:val="32"/>
          <w:szCs w:val="32"/>
        </w:rPr>
      </w:pPr>
    </w:p>
    <w:p w14:paraId="136DA5D2">
      <w:pPr>
        <w:snapToGrid w:val="0"/>
        <w:spacing w:before="156" w:after="156" w:line="288" w:lineRule="auto"/>
        <w:ind w:firstLine="1120"/>
        <w:jc w:val="center"/>
        <w:rPr>
          <w:rFonts w:ascii="Times New Roman" w:hAnsi="Times New Roman" w:eastAsia="黑体" w:cs="Times New Roman"/>
          <w:b/>
          <w:sz w:val="56"/>
          <w:szCs w:val="56"/>
        </w:rPr>
      </w:pPr>
    </w:p>
    <w:p w14:paraId="0017DF85">
      <w:pPr>
        <w:snapToGrid w:val="0"/>
        <w:spacing w:before="156" w:after="156" w:line="288" w:lineRule="auto"/>
        <w:ind w:firstLine="1120"/>
        <w:jc w:val="center"/>
        <w:rPr>
          <w:rFonts w:ascii="Times New Roman" w:hAnsi="Times New Roman" w:eastAsia="黑体" w:cs="Times New Roman"/>
          <w:b/>
          <w:sz w:val="56"/>
          <w:szCs w:val="56"/>
        </w:rPr>
      </w:pPr>
    </w:p>
    <w:p w14:paraId="707F247B">
      <w:pPr>
        <w:snapToGrid w:val="0"/>
        <w:spacing w:before="156" w:after="156" w:line="240" w:lineRule="auto"/>
        <w:jc w:val="center"/>
        <w:rPr>
          <w:rFonts w:ascii="Times New Roman" w:hAnsi="Times New Roman" w:eastAsia="黑体" w:cs="Times New Roman"/>
          <w:b/>
          <w:bCs/>
          <w:sz w:val="72"/>
          <w:szCs w:val="72"/>
          <w14:ligatures w14:val="none"/>
        </w:rPr>
      </w:pPr>
      <w:bookmarkStart w:id="11" w:name="_GoBack"/>
      <w:r>
        <w:rPr>
          <w:rFonts w:ascii="Times New Roman" w:hAnsi="Times New Roman" w:eastAsia="黑体" w:cs="Times New Roman"/>
          <w:b/>
          <w:bCs/>
          <w:sz w:val="72"/>
          <w:szCs w:val="72"/>
          <w14:ligatures w14:val="none"/>
        </w:rPr>
        <w:t>化妆品与包材相容性</w:t>
      </w:r>
      <w:r>
        <w:rPr>
          <w:rFonts w:hint="eastAsia" w:ascii="Times New Roman" w:hAnsi="Times New Roman" w:eastAsia="黑体" w:cs="Times New Roman"/>
          <w:b/>
          <w:bCs/>
          <w:sz w:val="72"/>
          <w:szCs w:val="72"/>
          <w14:ligatures w14:val="none"/>
        </w:rPr>
        <w:t>测试评估</w:t>
      </w:r>
      <w:r>
        <w:rPr>
          <w:rFonts w:ascii="Times New Roman" w:hAnsi="Times New Roman" w:eastAsia="黑体" w:cs="Times New Roman"/>
          <w:b/>
          <w:bCs/>
          <w:sz w:val="72"/>
          <w:szCs w:val="72"/>
          <w14:ligatures w14:val="none"/>
        </w:rPr>
        <w:t>技术指南</w:t>
      </w:r>
      <w:bookmarkEnd w:id="11"/>
    </w:p>
    <w:bookmarkEnd w:id="0"/>
    <w:p w14:paraId="102AB79D">
      <w:pPr>
        <w:spacing w:before="156" w:after="156"/>
        <w:ind w:firstLine="880"/>
        <w:rPr>
          <w:rFonts w:ascii="Times New Roman" w:hAnsi="Times New Roman" w:eastAsia="仿宋" w:cs="Times New Roman"/>
          <w:b/>
          <w:sz w:val="44"/>
          <w:szCs w:val="44"/>
        </w:rPr>
      </w:pPr>
    </w:p>
    <w:p w14:paraId="13A6B1E7">
      <w:pPr>
        <w:spacing w:before="156" w:after="156"/>
        <w:ind w:firstLine="880"/>
        <w:rPr>
          <w:rFonts w:ascii="Times New Roman" w:hAnsi="Times New Roman" w:eastAsia="仿宋" w:cs="Times New Roman"/>
          <w:b/>
          <w:sz w:val="44"/>
          <w:szCs w:val="44"/>
        </w:rPr>
      </w:pPr>
    </w:p>
    <w:p w14:paraId="51D2C206">
      <w:pPr>
        <w:spacing w:before="156" w:after="156"/>
        <w:ind w:firstLine="880"/>
        <w:rPr>
          <w:rFonts w:ascii="Times New Roman" w:hAnsi="Times New Roman" w:eastAsia="仿宋" w:cs="Times New Roman"/>
          <w:b/>
          <w:sz w:val="44"/>
          <w:szCs w:val="44"/>
        </w:rPr>
      </w:pPr>
    </w:p>
    <w:p w14:paraId="13CE765D">
      <w:pPr>
        <w:spacing w:before="156" w:after="156"/>
        <w:ind w:firstLine="880"/>
        <w:rPr>
          <w:rFonts w:ascii="Times New Roman" w:hAnsi="Times New Roman" w:eastAsia="仿宋" w:cs="Times New Roman"/>
          <w:b/>
          <w:sz w:val="44"/>
          <w:szCs w:val="44"/>
        </w:rPr>
      </w:pPr>
    </w:p>
    <w:p w14:paraId="1D6A3EAB">
      <w:pPr>
        <w:spacing w:before="156" w:after="156"/>
        <w:ind w:firstLine="880"/>
        <w:rPr>
          <w:rFonts w:ascii="Times New Roman" w:hAnsi="Times New Roman" w:eastAsia="仿宋" w:cs="Times New Roman"/>
          <w:b/>
          <w:sz w:val="44"/>
          <w:szCs w:val="44"/>
        </w:rPr>
      </w:pPr>
    </w:p>
    <w:p w14:paraId="0FF2DB79">
      <w:pPr>
        <w:spacing w:before="156" w:after="156"/>
        <w:ind w:firstLine="880"/>
        <w:rPr>
          <w:rFonts w:ascii="Times New Roman" w:hAnsi="Times New Roman" w:eastAsia="仿宋" w:cs="Times New Roman"/>
          <w:b/>
          <w:sz w:val="44"/>
          <w:szCs w:val="44"/>
        </w:rPr>
      </w:pPr>
    </w:p>
    <w:p w14:paraId="72DA7105">
      <w:pPr>
        <w:spacing w:before="156" w:after="156"/>
        <w:ind w:firstLine="880"/>
        <w:rPr>
          <w:rFonts w:ascii="Times New Roman" w:hAnsi="Times New Roman" w:eastAsia="仿宋" w:cs="Times New Roman"/>
          <w:b/>
          <w:sz w:val="44"/>
          <w:szCs w:val="44"/>
        </w:rPr>
      </w:pPr>
    </w:p>
    <w:p w14:paraId="412EB245">
      <w:pPr>
        <w:spacing w:before="156" w:after="156"/>
        <w:jc w:val="center"/>
        <w:rPr>
          <w:rFonts w:ascii="Times New Roman" w:hAnsi="Times New Roman" w:eastAsia="楷体_GB2312" w:cs="Times New Roman"/>
          <w:bCs/>
          <w:sz w:val="44"/>
          <w:szCs w:val="44"/>
        </w:rPr>
      </w:pPr>
      <w:r>
        <w:rPr>
          <w:rFonts w:ascii="Times New Roman" w:hAnsi="Times New Roman" w:eastAsia="楷体_GB2312" w:cs="Times New Roman"/>
          <w:bCs/>
          <w:sz w:val="44"/>
          <w:szCs w:val="44"/>
        </w:rPr>
        <w:t>中国食品药品检定研究院</w:t>
      </w:r>
    </w:p>
    <w:p w14:paraId="3779D8CF">
      <w:pPr>
        <w:spacing w:before="156" w:after="156"/>
        <w:ind w:firstLine="883"/>
        <w:jc w:val="center"/>
        <w:rPr>
          <w:rFonts w:ascii="Times New Roman" w:hAnsi="Times New Roman" w:eastAsia="楷体" w:cs="Times New Roman"/>
          <w:b/>
          <w:sz w:val="44"/>
          <w:szCs w:val="44"/>
        </w:rPr>
      </w:pPr>
      <w:r>
        <w:rPr>
          <w:rFonts w:ascii="Times New Roman" w:hAnsi="Times New Roman" w:eastAsia="楷体" w:cs="Times New Roman"/>
          <w:b/>
          <w:sz w:val="44"/>
          <w:szCs w:val="44"/>
        </w:rPr>
        <w:br w:type="page"/>
      </w:r>
    </w:p>
    <w:sdt>
      <w:sdtPr>
        <w:rPr>
          <w:rFonts w:ascii="Times New Roman" w:hAnsi="Times New Roman" w:eastAsia="宋体" w:cs="Times New Roman"/>
          <w:sz w:val="21"/>
          <w14:ligatures w14:val="none"/>
        </w:rPr>
        <w:id w:val="147463053"/>
        <w:docPartObj>
          <w:docPartGallery w:val="Table of Contents"/>
          <w:docPartUnique/>
        </w:docPartObj>
      </w:sdtPr>
      <w:sdtEndPr>
        <w:rPr>
          <w:rFonts w:ascii="Times New Roman" w:hAnsi="Times New Roman" w:eastAsia="宋体" w:cs="Times New Roman"/>
          <w:sz w:val="21"/>
          <w14:ligatures w14:val="none"/>
        </w:rPr>
      </w:sdtEndPr>
      <w:sdtContent>
        <w:p w14:paraId="257FCE70">
          <w:pPr>
            <w:spacing w:before="156" w:after="156"/>
            <w:ind w:firstLine="422"/>
            <w:jc w:val="center"/>
            <w:rPr>
              <w:rFonts w:ascii="Times New Roman" w:hAnsi="Times New Roman" w:eastAsia="宋体" w:cs="Times New Roman"/>
              <w:sz w:val="21"/>
              <w14:ligatures w14:val="none"/>
            </w:rPr>
          </w:pPr>
        </w:p>
        <w:p w14:paraId="54A85B08">
          <w:pPr>
            <w:spacing w:before="156" w:after="156"/>
            <w:ind w:firstLine="422"/>
            <w:jc w:val="center"/>
            <w:rPr>
              <w:rFonts w:ascii="Times New Roman" w:hAnsi="Times New Roman" w:eastAsia="宋体" w:cs="Times New Roman"/>
              <w:sz w:val="21"/>
              <w14:ligatures w14:val="none"/>
            </w:rPr>
          </w:pPr>
        </w:p>
        <w:p w14:paraId="587F4B93">
          <w:pPr>
            <w:spacing w:before="156" w:after="156"/>
            <w:jc w:val="center"/>
            <w:rPr>
              <w:rFonts w:ascii="Times New Roman" w:hAnsi="Times New Roman" w:eastAsia="黑体" w:cs="Times New Roman"/>
              <w:b/>
              <w:sz w:val="36"/>
              <w:szCs w:val="44"/>
            </w:rPr>
          </w:pPr>
          <w:r>
            <w:rPr>
              <w:rFonts w:ascii="Times New Roman" w:hAnsi="Times New Roman" w:eastAsia="黑体" w:cs="Times New Roman"/>
              <w:b/>
              <w:sz w:val="36"/>
              <w:szCs w:val="44"/>
            </w:rPr>
            <w:t>目  录</w:t>
          </w:r>
        </w:p>
        <w:p w14:paraId="26832018">
          <w:pPr>
            <w:spacing w:before="156" w:after="156"/>
            <w:ind w:firstLine="562"/>
            <w:rPr>
              <w:rFonts w:ascii="Times New Roman" w:hAnsi="Times New Roman" w:eastAsia="黑体" w:cs="Times New Roman"/>
              <w:sz w:val="28"/>
              <w:szCs w:val="28"/>
            </w:rPr>
          </w:pPr>
        </w:p>
        <w:p w14:paraId="1974E51E">
          <w:pPr>
            <w:pStyle w:val="6"/>
            <w:rPr>
              <w:rFonts w:asciiTheme="minorHAnsi" w:hAnsiTheme="minorHAnsi" w:eastAsiaTheme="minorEastAsia" w:cstheme="minorBidi"/>
              <w:sz w:val="22"/>
              <w:szCs w:val="24"/>
              <w14:ligatures w14:val="standardContextual"/>
            </w:rPr>
          </w:pPr>
          <w:r>
            <w:rPr>
              <w:sz w:val="28"/>
              <w:szCs w:val="28"/>
            </w:rPr>
            <w:fldChar w:fldCharType="begin"/>
          </w:r>
          <w:r>
            <w:rPr>
              <w:sz w:val="28"/>
              <w:szCs w:val="28"/>
            </w:rPr>
            <w:instrText xml:space="preserve">TOC \o "1-4" \h \u </w:instrText>
          </w:r>
          <w:r>
            <w:rPr>
              <w:sz w:val="28"/>
              <w:szCs w:val="28"/>
            </w:rPr>
            <w:fldChar w:fldCharType="separate"/>
          </w:r>
          <w:r>
            <w:fldChar w:fldCharType="begin"/>
          </w:r>
          <w:r>
            <w:instrText xml:space="preserve"> HYPERLINK \l "_Toc170297631" </w:instrText>
          </w:r>
          <w:r>
            <w:fldChar w:fldCharType="separate"/>
          </w:r>
          <w:r>
            <w:rPr>
              <w:rStyle w:val="14"/>
            </w:rPr>
            <w:t>一、范围</w:t>
          </w:r>
          <w:r>
            <w:tab/>
          </w:r>
          <w:r>
            <w:fldChar w:fldCharType="begin"/>
          </w:r>
          <w:r>
            <w:instrText xml:space="preserve"> PAGEREF _Toc170297631 \h </w:instrText>
          </w:r>
          <w:r>
            <w:fldChar w:fldCharType="separate"/>
          </w:r>
          <w:r>
            <w:t>1</w:t>
          </w:r>
          <w:r>
            <w:fldChar w:fldCharType="end"/>
          </w:r>
          <w:r>
            <w:fldChar w:fldCharType="end"/>
          </w:r>
        </w:p>
        <w:p w14:paraId="34866792">
          <w:pPr>
            <w:pStyle w:val="6"/>
            <w:rPr>
              <w:rFonts w:asciiTheme="minorHAnsi" w:hAnsiTheme="minorHAnsi" w:eastAsiaTheme="minorEastAsia" w:cstheme="minorBidi"/>
              <w:sz w:val="22"/>
              <w:szCs w:val="24"/>
              <w14:ligatures w14:val="standardContextual"/>
            </w:rPr>
          </w:pPr>
          <w:r>
            <w:fldChar w:fldCharType="begin"/>
          </w:r>
          <w:r>
            <w:instrText xml:space="preserve"> HYPERLINK \l "_Toc170297632" </w:instrText>
          </w:r>
          <w:r>
            <w:fldChar w:fldCharType="separate"/>
          </w:r>
          <w:r>
            <w:rPr>
              <w:rStyle w:val="14"/>
            </w:rPr>
            <w:t>二、术语和释义</w:t>
          </w:r>
          <w:r>
            <w:tab/>
          </w:r>
          <w:r>
            <w:fldChar w:fldCharType="begin"/>
          </w:r>
          <w:r>
            <w:instrText xml:space="preserve"> PAGEREF _Toc170297632 \h </w:instrText>
          </w:r>
          <w:r>
            <w:fldChar w:fldCharType="separate"/>
          </w:r>
          <w:r>
            <w:t>1</w:t>
          </w:r>
          <w:r>
            <w:fldChar w:fldCharType="end"/>
          </w:r>
          <w:r>
            <w:fldChar w:fldCharType="end"/>
          </w:r>
        </w:p>
        <w:p w14:paraId="2340244F">
          <w:pPr>
            <w:pStyle w:val="6"/>
            <w:rPr>
              <w:rFonts w:asciiTheme="minorHAnsi" w:hAnsiTheme="minorHAnsi" w:eastAsiaTheme="minorEastAsia" w:cstheme="minorBidi"/>
              <w:sz w:val="22"/>
              <w:szCs w:val="24"/>
              <w14:ligatures w14:val="standardContextual"/>
            </w:rPr>
          </w:pPr>
          <w:r>
            <w:fldChar w:fldCharType="begin"/>
          </w:r>
          <w:r>
            <w:instrText xml:space="preserve"> HYPERLINK \l "_Toc170297633" </w:instrText>
          </w:r>
          <w:r>
            <w:fldChar w:fldCharType="separate"/>
          </w:r>
          <w:r>
            <w:rPr>
              <w:rStyle w:val="14"/>
            </w:rPr>
            <w:t>三、要求</w:t>
          </w:r>
          <w:r>
            <w:tab/>
          </w:r>
          <w:r>
            <w:fldChar w:fldCharType="begin"/>
          </w:r>
          <w:r>
            <w:instrText xml:space="preserve"> PAGEREF _Toc170297633 \h </w:instrText>
          </w:r>
          <w:r>
            <w:fldChar w:fldCharType="separate"/>
          </w:r>
          <w:r>
            <w:t>1</w:t>
          </w:r>
          <w:r>
            <w:fldChar w:fldCharType="end"/>
          </w:r>
          <w:r>
            <w:fldChar w:fldCharType="end"/>
          </w:r>
        </w:p>
        <w:p w14:paraId="6EBD9D20">
          <w:pPr>
            <w:pStyle w:val="6"/>
            <w:rPr>
              <w:rFonts w:asciiTheme="minorHAnsi" w:hAnsiTheme="minorHAnsi" w:eastAsiaTheme="minorEastAsia" w:cstheme="minorBidi"/>
              <w:sz w:val="22"/>
              <w:szCs w:val="24"/>
              <w14:ligatures w14:val="standardContextual"/>
            </w:rPr>
          </w:pPr>
          <w:r>
            <w:fldChar w:fldCharType="begin"/>
          </w:r>
          <w:r>
            <w:instrText xml:space="preserve"> HYPERLINK \l "_Toc170297634" </w:instrText>
          </w:r>
          <w:r>
            <w:fldChar w:fldCharType="separate"/>
          </w:r>
          <w:r>
            <w:rPr>
              <w:rStyle w:val="14"/>
            </w:rPr>
            <w:t>四、试验方法</w:t>
          </w:r>
          <w:r>
            <w:tab/>
          </w:r>
          <w:r>
            <w:fldChar w:fldCharType="begin"/>
          </w:r>
          <w:r>
            <w:instrText xml:space="preserve"> PAGEREF _Toc170297634 \h </w:instrText>
          </w:r>
          <w:r>
            <w:fldChar w:fldCharType="separate"/>
          </w:r>
          <w:r>
            <w:t>2</w:t>
          </w:r>
          <w:r>
            <w:fldChar w:fldCharType="end"/>
          </w:r>
          <w:r>
            <w:fldChar w:fldCharType="end"/>
          </w:r>
        </w:p>
        <w:p w14:paraId="705F17B6">
          <w:pPr>
            <w:pStyle w:val="6"/>
            <w:rPr>
              <w:rFonts w:asciiTheme="minorHAnsi" w:hAnsiTheme="minorHAnsi" w:eastAsiaTheme="minorEastAsia" w:cstheme="minorBidi"/>
              <w:sz w:val="22"/>
              <w:szCs w:val="24"/>
              <w14:ligatures w14:val="standardContextual"/>
            </w:rPr>
          </w:pPr>
          <w:r>
            <w:fldChar w:fldCharType="begin"/>
          </w:r>
          <w:r>
            <w:instrText xml:space="preserve"> HYPERLINK \l "_Toc170297637" </w:instrText>
          </w:r>
          <w:r>
            <w:fldChar w:fldCharType="separate"/>
          </w:r>
          <w:r>
            <w:rPr>
              <w:rStyle w:val="14"/>
            </w:rPr>
            <w:t>五、结果评价</w:t>
          </w:r>
          <w:r>
            <w:tab/>
          </w:r>
          <w:r>
            <w:fldChar w:fldCharType="begin"/>
          </w:r>
          <w:r>
            <w:instrText xml:space="preserve"> PAGEREF _Toc170297637 \h </w:instrText>
          </w:r>
          <w:r>
            <w:fldChar w:fldCharType="separate"/>
          </w:r>
          <w:r>
            <w:t>5</w:t>
          </w:r>
          <w:r>
            <w:fldChar w:fldCharType="end"/>
          </w:r>
          <w:r>
            <w:fldChar w:fldCharType="end"/>
          </w:r>
        </w:p>
        <w:p w14:paraId="0B1DA525">
          <w:pPr>
            <w:pStyle w:val="6"/>
            <w:rPr>
              <w:rFonts w:asciiTheme="minorHAnsi" w:hAnsiTheme="minorHAnsi" w:eastAsiaTheme="minorEastAsia" w:cstheme="minorBidi"/>
              <w:sz w:val="22"/>
              <w:szCs w:val="24"/>
              <w14:ligatures w14:val="standardContextual"/>
            </w:rPr>
          </w:pPr>
          <w:r>
            <w:fldChar w:fldCharType="begin"/>
          </w:r>
          <w:r>
            <w:instrText xml:space="preserve"> HYPERLINK \l "_Toc170297638" </w:instrText>
          </w:r>
          <w:r>
            <w:fldChar w:fldCharType="separate"/>
          </w:r>
          <w:r>
            <w:rPr>
              <w:rStyle w:val="14"/>
            </w:rPr>
            <w:t>六、说明</w:t>
          </w:r>
          <w:r>
            <w:tab/>
          </w:r>
          <w:r>
            <w:fldChar w:fldCharType="begin"/>
          </w:r>
          <w:r>
            <w:instrText xml:space="preserve"> PAGEREF _Toc170297638 \h </w:instrText>
          </w:r>
          <w:r>
            <w:fldChar w:fldCharType="separate"/>
          </w:r>
          <w:r>
            <w:t>5</w:t>
          </w:r>
          <w:r>
            <w:fldChar w:fldCharType="end"/>
          </w:r>
          <w:r>
            <w:fldChar w:fldCharType="end"/>
          </w:r>
        </w:p>
        <w:p w14:paraId="78996360">
          <w:pPr>
            <w:pStyle w:val="7"/>
            <w:tabs>
              <w:tab w:val="right" w:leader="dot" w:pos="8306"/>
            </w:tabs>
            <w:spacing w:before="156" w:after="156" w:line="720" w:lineRule="auto"/>
            <w:ind w:left="440" w:firstLine="562"/>
            <w:rPr>
              <w:rFonts w:ascii="Times New Roman" w:hAnsi="Times New Roman" w:eastAsia="黑体" w:cs="Times New Roman"/>
              <w:bCs/>
              <w:sz w:val="32"/>
              <w:szCs w:val="32"/>
            </w:rPr>
            <w:sectPr>
              <w:footerReference r:id="rId5" w:type="even"/>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sz w:val="28"/>
              <w:szCs w:val="28"/>
            </w:rPr>
            <w:fldChar w:fldCharType="end"/>
          </w:r>
        </w:p>
      </w:sdtContent>
    </w:sdt>
    <w:p w14:paraId="755D215D">
      <w:pPr>
        <w:widowControl w:val="0"/>
        <w:spacing w:after="120" w:line="700" w:lineRule="exact"/>
        <w:ind w:firstLine="640" w:firstLineChars="200"/>
        <w:jc w:val="both"/>
        <w:outlineLvl w:val="0"/>
        <w:rPr>
          <w:rFonts w:ascii="Times New Roman" w:hAnsi="Times New Roman" w:eastAsia="黑体" w:cs="Times New Roman"/>
          <w:sz w:val="32"/>
          <w:szCs w:val="32"/>
          <w14:ligatures w14:val="none"/>
        </w:rPr>
      </w:pPr>
      <w:bookmarkStart w:id="1" w:name="_Toc170297631"/>
      <w:r>
        <w:rPr>
          <w:rFonts w:ascii="Times New Roman" w:hAnsi="Times New Roman" w:eastAsia="黑体" w:cs="Times New Roman"/>
          <w:sz w:val="32"/>
          <w:szCs w:val="32"/>
          <w14:ligatures w14:val="none"/>
        </w:rPr>
        <w:t>一、范围</w:t>
      </w:r>
      <w:bookmarkEnd w:id="1"/>
    </w:p>
    <w:p w14:paraId="10D5EF2A">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本指南适用于与化妆品内容物直接接触的容器或载体与产品相容性评价的要求、试验方法和结果评价。</w:t>
      </w:r>
    </w:p>
    <w:p w14:paraId="7A44D3D4">
      <w:pPr>
        <w:widowControl w:val="0"/>
        <w:spacing w:after="120" w:line="700" w:lineRule="exact"/>
        <w:ind w:firstLine="627" w:firstLineChars="196"/>
        <w:jc w:val="both"/>
        <w:outlineLvl w:val="0"/>
        <w:rPr>
          <w:rFonts w:ascii="Times New Roman" w:hAnsi="Times New Roman" w:eastAsia="黑体" w:cs="Times New Roman"/>
          <w:sz w:val="32"/>
          <w:szCs w:val="32"/>
          <w14:ligatures w14:val="none"/>
        </w:rPr>
      </w:pPr>
      <w:bookmarkStart w:id="2" w:name="_Toc170297632"/>
      <w:r>
        <w:rPr>
          <w:rFonts w:ascii="Times New Roman" w:hAnsi="Times New Roman" w:eastAsia="黑体" w:cs="Times New Roman"/>
          <w:sz w:val="32"/>
          <w:szCs w:val="32"/>
          <w14:ligatures w14:val="none"/>
        </w:rPr>
        <w:t>二、术语和释义</w:t>
      </w:r>
      <w:bookmarkEnd w:id="2"/>
    </w:p>
    <w:p w14:paraId="3D7F6759">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可提取物：存在于化妆品包材中并可以通过溶剂从中提取出来的物质，包括化妆品包材中的添加剂、残留单体、降解产物等。</w:t>
      </w:r>
    </w:p>
    <w:p w14:paraId="5BAC9A92">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浸出物：通过迁移试验获得的从包材中迁移或因试验产生并进入化妆品中的物质。</w:t>
      </w:r>
    </w:p>
    <w:p w14:paraId="07B2B9B2">
      <w:pPr>
        <w:widowControl w:val="0"/>
        <w:spacing w:after="120" w:line="700" w:lineRule="exact"/>
        <w:ind w:firstLine="627" w:firstLineChars="196"/>
        <w:jc w:val="both"/>
        <w:outlineLvl w:val="0"/>
        <w:rPr>
          <w:rFonts w:ascii="Times New Roman" w:hAnsi="Times New Roman" w:eastAsia="黑体" w:cs="Times New Roman"/>
          <w:sz w:val="32"/>
          <w:szCs w:val="32"/>
          <w14:ligatures w14:val="none"/>
        </w:rPr>
      </w:pPr>
      <w:bookmarkStart w:id="3" w:name="_Toc170297633"/>
      <w:r>
        <w:rPr>
          <w:rFonts w:ascii="Times New Roman" w:hAnsi="Times New Roman" w:eastAsia="黑体" w:cs="Times New Roman"/>
          <w:sz w:val="32"/>
          <w:szCs w:val="32"/>
          <w14:ligatures w14:val="none"/>
        </w:rPr>
        <w:t>三、要求</w:t>
      </w:r>
      <w:bookmarkEnd w:id="3"/>
    </w:p>
    <w:p w14:paraId="6E8A8F4B">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直接接触化妆品的包装材料应当安全，不得与化妆品发生化学反应，不得迁移或释放对人体产生危害的有毒有害物质。</w:t>
      </w:r>
    </w:p>
    <w:p w14:paraId="54A821D6">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相容性研究考察化妆品与其包材之间是否存在相互影响，并导致化妆品产生安全性风险。</w:t>
      </w:r>
    </w:p>
    <w:p w14:paraId="5126F6AB">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选择包材时，应对化妆品与包材的相容性开展评估，若发现化妆品与包材发生相互作用并对化妆品的质量安全产生影响时，应开展化妆品与包材的相容性研究。</w:t>
      </w:r>
    </w:p>
    <w:p w14:paraId="5ED1D57C">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进行化妆品与其包材相容性试验时，应建立灵敏、专属性的测试方法。必要时，进行方法学的</w:t>
      </w:r>
      <w:r>
        <w:rPr>
          <w:rFonts w:hint="eastAsia" w:ascii="Times New Roman" w:hAnsi="Times New Roman" w:eastAsia="仿宋_GB2312" w:cs="Times New Roman"/>
          <w:sz w:val="32"/>
          <w:szCs w:val="32"/>
        </w:rPr>
        <w:t>验证</w:t>
      </w:r>
      <w:r>
        <w:rPr>
          <w:rFonts w:ascii="Times New Roman" w:hAnsi="Times New Roman" w:eastAsia="仿宋_GB2312" w:cs="Times New Roman"/>
          <w:sz w:val="32"/>
          <w:szCs w:val="32"/>
        </w:rPr>
        <w:t>。取样时，应注意空白包材与化妆品取样的代表性。</w:t>
      </w:r>
    </w:p>
    <w:p w14:paraId="32F7EE4F">
      <w:pPr>
        <w:widowControl w:val="0"/>
        <w:spacing w:after="120" w:line="700" w:lineRule="exact"/>
        <w:ind w:firstLine="640" w:firstLineChars="200"/>
        <w:jc w:val="both"/>
        <w:outlineLvl w:val="0"/>
        <w:rPr>
          <w:rFonts w:ascii="Times New Roman" w:hAnsi="Times New Roman" w:eastAsia="黑体" w:cs="Times New Roman"/>
          <w:sz w:val="32"/>
          <w:szCs w:val="32"/>
          <w14:ligatures w14:val="none"/>
        </w:rPr>
      </w:pPr>
      <w:bookmarkStart w:id="4" w:name="_Toc170297634"/>
      <w:r>
        <w:rPr>
          <w:rFonts w:ascii="Times New Roman" w:hAnsi="Times New Roman" w:eastAsia="黑体" w:cs="Times New Roman"/>
          <w:sz w:val="32"/>
          <w:szCs w:val="32"/>
          <w14:ligatures w14:val="none"/>
        </w:rPr>
        <w:t>四、试验方法</w:t>
      </w:r>
      <w:bookmarkEnd w:id="4"/>
    </w:p>
    <w:p w14:paraId="6C7E14A1">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开展相容性研究时，首先应确定直接接触化妆品的包装容器及材料，了解或分析包材的组成、包材与化妆品的接触方式与接触条件、化妆品的生产工艺及过程；随后对所用包材进行提取试验，获得可提取物信息，并预测潜在的浸出物；通过相互作用研究，考察加速试验和长期稳定性试验条件下包材中成分迁移进入化妆品或与化妆品发生反应的程度，即获取浸出物水平信息；对浸出物水平进行安全性评估，得出包材是否适用于化妆品的结论。</w:t>
      </w:r>
    </w:p>
    <w:p w14:paraId="3BEA4CB7">
      <w:pPr>
        <w:widowControl w:val="0"/>
        <w:tabs>
          <w:tab w:val="left" w:pos="567"/>
        </w:tabs>
        <w:adjustRightInd w:val="0"/>
        <w:spacing w:after="120" w:line="700" w:lineRule="exact"/>
        <w:ind w:firstLine="643" w:firstLineChars="200"/>
        <w:jc w:val="both"/>
        <w:outlineLvl w:val="1"/>
        <w:rPr>
          <w:rFonts w:ascii="Times New Roman" w:hAnsi="Times New Roman" w:eastAsia="仿宋" w:cs="Times New Roman"/>
          <w:b/>
          <w:bCs/>
          <w:sz w:val="32"/>
          <w:szCs w:val="32"/>
          <w14:ligatures w14:val="none"/>
        </w:rPr>
      </w:pPr>
      <w:bookmarkStart w:id="5" w:name="_Toc166067699"/>
      <w:bookmarkStart w:id="6" w:name="_Toc170297635"/>
      <w:r>
        <w:rPr>
          <w:rFonts w:ascii="Times New Roman" w:hAnsi="Times New Roman" w:eastAsia="楷体_GB2312" w:cs="Times New Roman"/>
          <w:b/>
          <w:bCs/>
          <w:sz w:val="32"/>
          <w:szCs w:val="32"/>
          <w14:ligatures w14:val="none"/>
        </w:rPr>
        <w:t>（一）提取试验</w:t>
      </w:r>
      <w:bookmarkEnd w:id="5"/>
      <w:bookmarkEnd w:id="6"/>
    </w:p>
    <w:p w14:paraId="268DD56F">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提取试验是指采用适宜的溶剂，对空白包材进行的试验研究；目的是获得包材中的可提取物信息以明确迁移试验的目标浸出物，依据提取试验研究中获得的可提取物种类和水平信息，建立灵敏的、专属的分析方法，以指导后续的浸出物研究（迁移试验）。</w:t>
      </w:r>
    </w:p>
    <w:p w14:paraId="2A41CBB5">
      <w:pPr>
        <w:snapToGrid w:val="0"/>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提取溶剂通常应具有与化妆品相容或相似的理化性质，重点考虑溶剂的pH、极性和离子强度等。提取条件一般应参考化妆品的工艺条件，通过适当提高加热温度和延长加热时间的方式尽可能多的提取出包材中的可提取物。</w:t>
      </w:r>
    </w:p>
    <w:p w14:paraId="3930A410">
      <w:pPr>
        <w:widowControl w:val="0"/>
        <w:tabs>
          <w:tab w:val="left" w:pos="567"/>
        </w:tabs>
        <w:adjustRightInd w:val="0"/>
        <w:spacing w:after="120" w:line="700" w:lineRule="exact"/>
        <w:ind w:firstLine="643" w:firstLineChars="200"/>
        <w:jc w:val="both"/>
        <w:outlineLvl w:val="1"/>
        <w:rPr>
          <w:rFonts w:ascii="Times New Roman" w:hAnsi="Times New Roman" w:eastAsia="楷体_GB2312" w:cs="Times New Roman"/>
          <w:b/>
          <w:bCs/>
          <w:sz w:val="32"/>
          <w:szCs w:val="32"/>
          <w14:ligatures w14:val="none"/>
        </w:rPr>
      </w:pPr>
      <w:bookmarkStart w:id="7" w:name="_Toc170297636"/>
      <w:bookmarkStart w:id="8" w:name="_Toc166067700"/>
      <w:r>
        <w:rPr>
          <w:rFonts w:ascii="Times New Roman" w:hAnsi="Times New Roman" w:eastAsia="楷体_GB2312" w:cs="Times New Roman"/>
          <w:b/>
          <w:bCs/>
          <w:sz w:val="32"/>
          <w:szCs w:val="32"/>
          <w14:ligatures w14:val="none"/>
        </w:rPr>
        <w:t>（二）</w:t>
      </w:r>
      <w:r>
        <w:rPr>
          <w:rFonts w:ascii="Times New Roman" w:hAnsi="Times New Roman" w:eastAsia="楷体_GB2312" w:cs="Times New Roman"/>
          <w:b/>
          <w:bCs/>
          <w:sz w:val="32"/>
          <w:szCs w:val="32"/>
        </w:rPr>
        <w:t>相互作用研究</w:t>
      </w:r>
      <w:bookmarkEnd w:id="7"/>
      <w:bookmarkEnd w:id="8"/>
    </w:p>
    <w:p w14:paraId="1A12D454">
      <w:pPr>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相互作用研究包括迁移试验和吸附试验。相互作用研究应采用实际样品，在加速试验和长期稳定性试验的条件下（试验条件参考《化妆品稳定性</w:t>
      </w:r>
      <w:r>
        <w:rPr>
          <w:rFonts w:hint="eastAsia" w:ascii="Times New Roman" w:hAnsi="Times New Roman" w:eastAsia="仿宋_GB2312" w:cs="Times New Roman"/>
          <w:sz w:val="32"/>
          <w:szCs w:val="32"/>
        </w:rPr>
        <w:t>测试评估</w:t>
      </w:r>
      <w:r>
        <w:rPr>
          <w:rFonts w:ascii="Times New Roman" w:hAnsi="Times New Roman" w:eastAsia="仿宋_GB2312" w:cs="Times New Roman"/>
          <w:sz w:val="32"/>
          <w:szCs w:val="32"/>
        </w:rPr>
        <w:t>技术指南》）进行试验，化妆品的放置方法应保证化妆品与包材充分接触。</w:t>
      </w:r>
    </w:p>
    <w:p w14:paraId="5F685E2D">
      <w:pPr>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迁移试验是根据预测的目标浸出物开展的研究，包括包材中的可提取物及其降解产物、包材与化妆品反应产生的产物等。迁移试验所用的分析方法应进行方法学验证，以证实其方法能灵敏、准确、稳定地检出化妆品中的浸出物。必要时，可选择开展吸附试验，以考察包材吸附对化妆品成分的影响。</w:t>
      </w:r>
    </w:p>
    <w:p w14:paraId="41F1BF03">
      <w:pPr>
        <w:spacing w:after="12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在进行迁移试验时，应根据不同包材的材质与化妆品的种类，针对性的设计实验方案，关注以下项目。</w:t>
      </w:r>
    </w:p>
    <w:p w14:paraId="7239A7AF">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塑料</w:t>
      </w:r>
    </w:p>
    <w:p w14:paraId="28E2DD5C">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残留单体、添加剂及其降解产物等的迁移等。</w:t>
      </w:r>
    </w:p>
    <w:p w14:paraId="2252E4C5">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玻璃</w:t>
      </w:r>
    </w:p>
    <w:p w14:paraId="611F24F1">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碱性离子的释放对化妆品pH的影响；有害元素的迁移；含有着色剂的避光玻璃中添加剂的迁移。对于内部镀膜、涂膜等具膜的玻璃容器，膜</w:t>
      </w:r>
      <w:r>
        <w:rPr>
          <w:rFonts w:hint="eastAsia" w:ascii="Times New Roman" w:hAnsi="Times New Roman" w:eastAsia="仿宋_GB2312" w:cs="Times New Roman"/>
          <w:color w:val="000000"/>
          <w:sz w:val="32"/>
          <w:szCs w:val="32"/>
        </w:rPr>
        <w:t>的完整性即</w:t>
      </w:r>
      <w:r>
        <w:rPr>
          <w:rFonts w:ascii="Times New Roman" w:hAnsi="Times New Roman" w:eastAsia="仿宋_GB2312" w:cs="Times New Roman"/>
          <w:color w:val="000000"/>
          <w:sz w:val="32"/>
          <w:szCs w:val="32"/>
        </w:rPr>
        <w:t>膜内的添加剂的迁移等。</w:t>
      </w:r>
    </w:p>
    <w:p w14:paraId="02D9276B">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金属</w:t>
      </w:r>
    </w:p>
    <w:p w14:paraId="5FC9DCA1">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金属离子的迁移；内容物对金属的腐蚀；金属涂层在试验前后的完整性，涂层中的添加剂的迁移等。</w:t>
      </w:r>
    </w:p>
    <w:p w14:paraId="5E220580">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橡胶</w:t>
      </w:r>
    </w:p>
    <w:p w14:paraId="5A39D764">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残留单体、添加剂及其降解产物等的迁移。对于覆膜、涂膜等具膜的橡胶配件，</w:t>
      </w:r>
      <w:r>
        <w:rPr>
          <w:rFonts w:hint="eastAsia" w:ascii="Times New Roman" w:hAnsi="Times New Roman" w:eastAsia="仿宋_GB2312" w:cs="Times New Roman"/>
          <w:color w:val="000000"/>
          <w:sz w:val="32"/>
          <w:szCs w:val="32"/>
        </w:rPr>
        <w:t>膜</w:t>
      </w:r>
      <w:r>
        <w:rPr>
          <w:rFonts w:ascii="Times New Roman" w:hAnsi="Times New Roman" w:eastAsia="仿宋_GB2312" w:cs="Times New Roman"/>
          <w:color w:val="000000"/>
          <w:sz w:val="32"/>
          <w:szCs w:val="32"/>
        </w:rPr>
        <w:t>的完整性及膜内的添加剂的迁移等。</w:t>
      </w:r>
    </w:p>
    <w:p w14:paraId="7808F3A3">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 陶瓷</w:t>
      </w:r>
    </w:p>
    <w:p w14:paraId="0A77AC07">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陶瓷釉中有害元素的迁移，对于内部镀膜、涂膜等具膜的陶瓷容器，</w:t>
      </w:r>
      <w:r>
        <w:rPr>
          <w:rFonts w:hint="eastAsia" w:ascii="Times New Roman" w:hAnsi="Times New Roman" w:eastAsia="仿宋_GB2312" w:cs="Times New Roman"/>
          <w:color w:val="000000"/>
          <w:sz w:val="32"/>
          <w:szCs w:val="32"/>
        </w:rPr>
        <w:t>膜</w:t>
      </w:r>
      <w:r>
        <w:rPr>
          <w:rFonts w:ascii="Times New Roman" w:hAnsi="Times New Roman" w:eastAsia="仿宋_GB2312" w:cs="Times New Roman"/>
          <w:color w:val="000000"/>
          <w:sz w:val="32"/>
          <w:szCs w:val="32"/>
        </w:rPr>
        <w:t>的完整性及膜内的添加剂的迁移等。</w:t>
      </w:r>
    </w:p>
    <w:p w14:paraId="2C0F4D1B">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 膜布</w:t>
      </w:r>
    </w:p>
    <w:p w14:paraId="620DC000">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荧光增白剂等添加剂的迁移。</w:t>
      </w:r>
    </w:p>
    <w:p w14:paraId="448BACDF">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 胶囊壳</w:t>
      </w:r>
    </w:p>
    <w:p w14:paraId="3D73BDEE">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着色剂等添加剂的迁移。</w:t>
      </w:r>
    </w:p>
    <w:p w14:paraId="1C4A21EA">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 其他</w:t>
      </w:r>
    </w:p>
    <w:p w14:paraId="6303C84D">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参考上述包材关注内容，设计迁移试验方案，考察包材与化妆品的相容性。</w:t>
      </w:r>
    </w:p>
    <w:p w14:paraId="232817F4">
      <w:pPr>
        <w:widowControl w:val="0"/>
        <w:spacing w:after="120" w:line="700" w:lineRule="exact"/>
        <w:ind w:firstLine="640" w:firstLineChars="200"/>
        <w:jc w:val="both"/>
        <w:outlineLvl w:val="0"/>
        <w:rPr>
          <w:rFonts w:ascii="Times New Roman" w:hAnsi="Times New Roman" w:eastAsia="黑体" w:cs="Times New Roman"/>
          <w:sz w:val="32"/>
          <w:szCs w:val="32"/>
          <w14:ligatures w14:val="none"/>
        </w:rPr>
      </w:pPr>
      <w:bookmarkStart w:id="9" w:name="_Toc170297637"/>
      <w:r>
        <w:rPr>
          <w:rFonts w:ascii="Times New Roman" w:hAnsi="Times New Roman" w:eastAsia="黑体" w:cs="Times New Roman"/>
          <w:sz w:val="32"/>
          <w:szCs w:val="32"/>
          <w14:ligatures w14:val="none"/>
        </w:rPr>
        <w:t>五、结果评价</w:t>
      </w:r>
      <w:bookmarkEnd w:id="9"/>
    </w:p>
    <w:p w14:paraId="542BA748">
      <w:pPr>
        <w:widowControl w:val="0"/>
        <w:spacing w:after="12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提取试验获得的可提取物信息及迁移试验获得的浸出物信息，分析汇总浸出物的种类及含量，进行必要的化合物归属或结构鉴定，若《化妆品安全技术规范》有限量规定的应符合其规定；未规定限量的，应进行安全性风险评估，确保在正常、合理及可预见的适用条件下不得对人体健康产生危害。如有必要，可结合</w:t>
      </w:r>
      <w:r>
        <w:rPr>
          <w:rFonts w:ascii="Times New Roman" w:hAnsi="Times New Roman" w:eastAsia="仿宋_GB2312" w:cs="Times New Roman"/>
          <w:bCs/>
          <w:color w:val="000000"/>
          <w:sz w:val="32"/>
          <w:szCs w:val="32"/>
        </w:rPr>
        <w:t>稳定性试验结果</w:t>
      </w:r>
      <w:r>
        <w:rPr>
          <w:rFonts w:ascii="Times New Roman" w:hAnsi="Times New Roman" w:eastAsia="仿宋_GB2312" w:cs="Times New Roman"/>
          <w:color w:val="000000"/>
          <w:sz w:val="32"/>
          <w:szCs w:val="32"/>
        </w:rPr>
        <w:t>综合评估化妆品与包材的相互作用。分析包材和化妆品的相容性是否会影响化妆品的质量和安全。</w:t>
      </w:r>
    </w:p>
    <w:p w14:paraId="3F77115C">
      <w:pPr>
        <w:widowControl w:val="0"/>
        <w:spacing w:after="120" w:line="700" w:lineRule="exact"/>
        <w:ind w:firstLine="640" w:firstLineChars="200"/>
        <w:jc w:val="both"/>
        <w:outlineLvl w:val="0"/>
        <w:rPr>
          <w:rFonts w:ascii="Times New Roman" w:hAnsi="Times New Roman" w:eastAsia="黑体" w:cs="Times New Roman"/>
          <w:sz w:val="32"/>
          <w:szCs w:val="32"/>
          <w14:ligatures w14:val="none"/>
        </w:rPr>
      </w:pPr>
      <w:bookmarkStart w:id="10" w:name="_Toc170297638"/>
      <w:r>
        <w:rPr>
          <w:rFonts w:hint="eastAsia" w:ascii="Times New Roman" w:hAnsi="Times New Roman" w:eastAsia="黑体" w:cs="Times New Roman"/>
          <w:sz w:val="32"/>
          <w:szCs w:val="32"/>
          <w14:ligatures w14:val="none"/>
        </w:rPr>
        <w:t>六、说明</w:t>
      </w:r>
      <w:bookmarkEnd w:id="10"/>
    </w:p>
    <w:p w14:paraId="5366E75B">
      <w:pPr>
        <w:widowControl w:val="0"/>
        <w:spacing w:after="120"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化妆品注册人、备案人可以依据国家标准、技术规范、行业标准、国际标准、本技术指南或自建方法开展相关研究，并在安全评估报告中提交相关测试或者评估结论。</w:t>
      </w:r>
    </w:p>
    <w:p w14:paraId="35A7F32A">
      <w:pPr>
        <w:widowControl w:val="0"/>
        <w:spacing w:after="120" w:line="560" w:lineRule="exact"/>
        <w:rPr>
          <w:rFonts w:ascii="Times New Roman" w:hAnsi="Times New Roman" w:eastAsia="仿宋_GB2312" w:cs="Times New Roman"/>
          <w:color w:val="000000"/>
          <w:sz w:val="32"/>
          <w:szCs w:val="32"/>
        </w:rPr>
      </w:pPr>
    </w:p>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5" w:left="1588"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4F2E">
    <w:pPr>
      <w:pStyle w:val="4"/>
      <w:tabs>
        <w:tab w:val="center" w:pos="4153"/>
        <w:tab w:val="clear" w:pos="4680"/>
        <w:tab w:val="clear" w:pos="936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1CD05">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A1CD05">
                    <w:pPr>
                      <w:pStyle w:val="4"/>
                    </w:pP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AEF3">
    <w:pPr>
      <w:pStyle w:val="4"/>
      <w:ind w:firstLine="560"/>
      <w:jc w:val="center"/>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4959350</wp:posOffset>
              </wp:positionH>
              <wp:positionV relativeFrom="paragraph">
                <wp:posOffset>-87630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0BD31">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5pt;margin-top:-6.9pt;height:144pt;width:144pt;mso-position-horizontal-relative:margin;mso-wrap-style:none;z-index:251660288;mso-width-relative:page;mso-height-relative:page;" filled="f" stroked="f" coordsize="21600,21600" o:gfxdata="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XwZL2QAAAAwBAAAPAAAAAAAAAAEAIAAAACIAAABkcnMvZG93bnJldi54bWxQSwEC&#10;FAAUAAAACACHTuJAvQ7dtywCAABVBAAADgAAAAAAAAABACAAAAAoAQAAZHJzL2Uyb0RvYy54bWxQ&#10;SwUGAAAAAAYABgBZAQAAxgUAAAAA&#10;">
              <v:fill on="f" focussize="0,0"/>
              <v:stroke on="f" weight="0.5pt"/>
              <v:imagedata o:title=""/>
              <o:lock v:ext="edit" aspectratio="f"/>
              <v:textbox inset="0mm,0mm,0mm,0mm" style="mso-fit-shape-to-text:t;">
                <w:txbxContent>
                  <w:p w14:paraId="7CB0BD31">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8BF3">
    <w:pPr>
      <w:pStyle w:val="4"/>
      <w:ind w:firstLine="640"/>
    </w:pPr>
  </w:p>
  <w:p w14:paraId="1455A6F2">
    <w:pPr>
      <w:ind w:firstLine="640"/>
    </w:pPr>
  </w:p>
  <w:p w14:paraId="34F25833">
    <w:pPr>
      <w:ind w:firstLine="640"/>
    </w:pPr>
    <w:r>
      <w:rPr>
        <w:sz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778593118" name="文本框 778593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162BF">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NG6AuTUCAABlBAAADgAAAAAAAAABACAAAAAfAQAAZHJzL2Uyb0RvYy54bWxQ&#10;SwUGAAAAAAYABgBZAQAAxgUAAAAA&#10;">
              <v:fill on="f" focussize="0,0"/>
              <v:stroke on="f" weight="0.5pt"/>
              <v:imagedata o:title=""/>
              <o:lock v:ext="edit" aspectratio="f"/>
              <v:textbox inset="0mm,0mm,0mm,0mm" style="mso-fit-shape-to-text:t;">
                <w:txbxContent>
                  <w:p w14:paraId="5F0162BF">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75C8">
    <w:pPr>
      <w:pStyle w:val="4"/>
      <w:ind w:firstLine="640"/>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2065" b="0"/>
              <wp:wrapNone/>
              <wp:docPr id="1" name="Text Box 1" descr="C1 - Internal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C2DAE">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 o:spid="_x0000_s1026" o:spt="202" alt="C1 - Internal use"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O1gcbkrAgAAaAQAAA4AAAAAAAAAAQAgAAAAIQEAAGRycy9lMm9Eb2MueG1sUEsFBgAAAAAG&#10;AAYAWQEAAL4FAAAAAA==&#10;">
              <v:fill on="f" focussize="0,0"/>
              <v:stroke on="f"/>
              <v:imagedata o:title=""/>
              <o:lock v:ext="edit" aspectratio="f"/>
              <v:textbox inset="0mm,0mm,0mm,15pt" style="mso-fit-shape-to-text:t;">
                <w:txbxContent>
                  <w:p w14:paraId="59AC2DAE">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6773">
    <w:pPr>
      <w:pStyle w:val="5"/>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C9DE">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5AF6">
    <w:pPr>
      <w:pStyle w:val="5"/>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pStyle w:val="2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OGI5ZmFiY2M5YjZkMjg0NjFmYTYxMjg0OWFhNWMifQ=="/>
  </w:docVars>
  <w:rsids>
    <w:rsidRoot w:val="00A743FA"/>
    <w:rsid w:val="00000922"/>
    <w:rsid w:val="00001029"/>
    <w:rsid w:val="00004176"/>
    <w:rsid w:val="000067B6"/>
    <w:rsid w:val="00006AE0"/>
    <w:rsid w:val="00011551"/>
    <w:rsid w:val="00017803"/>
    <w:rsid w:val="000253F1"/>
    <w:rsid w:val="0002733B"/>
    <w:rsid w:val="0003016C"/>
    <w:rsid w:val="00030335"/>
    <w:rsid w:val="0003795E"/>
    <w:rsid w:val="000419CB"/>
    <w:rsid w:val="000437D2"/>
    <w:rsid w:val="0004446B"/>
    <w:rsid w:val="0004518B"/>
    <w:rsid w:val="00045B84"/>
    <w:rsid w:val="00046EBD"/>
    <w:rsid w:val="0004713A"/>
    <w:rsid w:val="00047819"/>
    <w:rsid w:val="00047C59"/>
    <w:rsid w:val="000501BC"/>
    <w:rsid w:val="00051AB5"/>
    <w:rsid w:val="0005321C"/>
    <w:rsid w:val="00061F6E"/>
    <w:rsid w:val="0006375D"/>
    <w:rsid w:val="0006513A"/>
    <w:rsid w:val="000670F3"/>
    <w:rsid w:val="00067201"/>
    <w:rsid w:val="00074043"/>
    <w:rsid w:val="0007559E"/>
    <w:rsid w:val="0007751E"/>
    <w:rsid w:val="00080820"/>
    <w:rsid w:val="00087368"/>
    <w:rsid w:val="000A0BBF"/>
    <w:rsid w:val="000A37BC"/>
    <w:rsid w:val="000A3CF7"/>
    <w:rsid w:val="000B09AE"/>
    <w:rsid w:val="000B2B0C"/>
    <w:rsid w:val="000C66C7"/>
    <w:rsid w:val="000D1B47"/>
    <w:rsid w:val="000D68E4"/>
    <w:rsid w:val="000D6FB9"/>
    <w:rsid w:val="000D713E"/>
    <w:rsid w:val="000E26C2"/>
    <w:rsid w:val="000E2EDC"/>
    <w:rsid w:val="000F0933"/>
    <w:rsid w:val="000F2192"/>
    <w:rsid w:val="001004B9"/>
    <w:rsid w:val="00104461"/>
    <w:rsid w:val="00107DC8"/>
    <w:rsid w:val="00115019"/>
    <w:rsid w:val="00121E55"/>
    <w:rsid w:val="00127DBF"/>
    <w:rsid w:val="00141A50"/>
    <w:rsid w:val="00142AED"/>
    <w:rsid w:val="00143F5F"/>
    <w:rsid w:val="001450EE"/>
    <w:rsid w:val="00151D00"/>
    <w:rsid w:val="00156A4F"/>
    <w:rsid w:val="0015758F"/>
    <w:rsid w:val="00177122"/>
    <w:rsid w:val="001833FB"/>
    <w:rsid w:val="00183E4F"/>
    <w:rsid w:val="001900C9"/>
    <w:rsid w:val="00192AA6"/>
    <w:rsid w:val="001A4D8E"/>
    <w:rsid w:val="001A5C40"/>
    <w:rsid w:val="001A7E9D"/>
    <w:rsid w:val="001B1635"/>
    <w:rsid w:val="001B319F"/>
    <w:rsid w:val="001B588D"/>
    <w:rsid w:val="001B73AF"/>
    <w:rsid w:val="001B7BEC"/>
    <w:rsid w:val="001C092B"/>
    <w:rsid w:val="001C227B"/>
    <w:rsid w:val="001C30CD"/>
    <w:rsid w:val="001C34E5"/>
    <w:rsid w:val="001C4569"/>
    <w:rsid w:val="001C4BA8"/>
    <w:rsid w:val="001C4BD2"/>
    <w:rsid w:val="001C7CC0"/>
    <w:rsid w:val="001D0B96"/>
    <w:rsid w:val="001E51CA"/>
    <w:rsid w:val="001E5A79"/>
    <w:rsid w:val="001E5FED"/>
    <w:rsid w:val="001E64D3"/>
    <w:rsid w:val="001E715B"/>
    <w:rsid w:val="001F1F7F"/>
    <w:rsid w:val="001F4CC4"/>
    <w:rsid w:val="00201D2B"/>
    <w:rsid w:val="00211079"/>
    <w:rsid w:val="00213AF0"/>
    <w:rsid w:val="00216B2E"/>
    <w:rsid w:val="00216DD9"/>
    <w:rsid w:val="00217BCA"/>
    <w:rsid w:val="002200ED"/>
    <w:rsid w:val="00223C63"/>
    <w:rsid w:val="00226107"/>
    <w:rsid w:val="00227912"/>
    <w:rsid w:val="00230498"/>
    <w:rsid w:val="0023137D"/>
    <w:rsid w:val="00232118"/>
    <w:rsid w:val="002411EC"/>
    <w:rsid w:val="00241381"/>
    <w:rsid w:val="002554A1"/>
    <w:rsid w:val="00260AE2"/>
    <w:rsid w:val="002622E1"/>
    <w:rsid w:val="002626EA"/>
    <w:rsid w:val="00262D4A"/>
    <w:rsid w:val="00262DDA"/>
    <w:rsid w:val="00266556"/>
    <w:rsid w:val="002666A2"/>
    <w:rsid w:val="002716C6"/>
    <w:rsid w:val="00273214"/>
    <w:rsid w:val="002741F5"/>
    <w:rsid w:val="0027664C"/>
    <w:rsid w:val="002843C2"/>
    <w:rsid w:val="00284585"/>
    <w:rsid w:val="002862AB"/>
    <w:rsid w:val="00287ACC"/>
    <w:rsid w:val="002904AB"/>
    <w:rsid w:val="00292E13"/>
    <w:rsid w:val="0029328B"/>
    <w:rsid w:val="00297AFF"/>
    <w:rsid w:val="002A270E"/>
    <w:rsid w:val="002A2C8C"/>
    <w:rsid w:val="002A5971"/>
    <w:rsid w:val="002B2B01"/>
    <w:rsid w:val="002B42BA"/>
    <w:rsid w:val="002C5625"/>
    <w:rsid w:val="002D31BF"/>
    <w:rsid w:val="002D3918"/>
    <w:rsid w:val="002D6BA3"/>
    <w:rsid w:val="002E39E4"/>
    <w:rsid w:val="002E682E"/>
    <w:rsid w:val="002F19ED"/>
    <w:rsid w:val="002F677A"/>
    <w:rsid w:val="00302F54"/>
    <w:rsid w:val="003055C8"/>
    <w:rsid w:val="003111A9"/>
    <w:rsid w:val="00313BE9"/>
    <w:rsid w:val="0031485F"/>
    <w:rsid w:val="00320037"/>
    <w:rsid w:val="00335A6C"/>
    <w:rsid w:val="00336299"/>
    <w:rsid w:val="00340B16"/>
    <w:rsid w:val="00342C35"/>
    <w:rsid w:val="00346234"/>
    <w:rsid w:val="00346328"/>
    <w:rsid w:val="00346502"/>
    <w:rsid w:val="00351B47"/>
    <w:rsid w:val="003523C2"/>
    <w:rsid w:val="00353188"/>
    <w:rsid w:val="00355B4E"/>
    <w:rsid w:val="00357661"/>
    <w:rsid w:val="0037271F"/>
    <w:rsid w:val="00377B1F"/>
    <w:rsid w:val="0038138F"/>
    <w:rsid w:val="00390920"/>
    <w:rsid w:val="00390F30"/>
    <w:rsid w:val="003922FB"/>
    <w:rsid w:val="00394494"/>
    <w:rsid w:val="00395B2C"/>
    <w:rsid w:val="003972FF"/>
    <w:rsid w:val="003A003C"/>
    <w:rsid w:val="003A06A0"/>
    <w:rsid w:val="003A5B2E"/>
    <w:rsid w:val="003B0647"/>
    <w:rsid w:val="003B373A"/>
    <w:rsid w:val="003C4916"/>
    <w:rsid w:val="003C539B"/>
    <w:rsid w:val="003D3B92"/>
    <w:rsid w:val="003D420B"/>
    <w:rsid w:val="003D616D"/>
    <w:rsid w:val="003D658C"/>
    <w:rsid w:val="003D7DFC"/>
    <w:rsid w:val="003F2E30"/>
    <w:rsid w:val="003F302C"/>
    <w:rsid w:val="003F53D0"/>
    <w:rsid w:val="003F793E"/>
    <w:rsid w:val="004026C9"/>
    <w:rsid w:val="004075D4"/>
    <w:rsid w:val="00410B5C"/>
    <w:rsid w:val="00412C71"/>
    <w:rsid w:val="00417608"/>
    <w:rsid w:val="00421146"/>
    <w:rsid w:val="004257F9"/>
    <w:rsid w:val="00426059"/>
    <w:rsid w:val="00426E2B"/>
    <w:rsid w:val="0043086B"/>
    <w:rsid w:val="00431D01"/>
    <w:rsid w:val="00431D44"/>
    <w:rsid w:val="00436BF3"/>
    <w:rsid w:val="00437A05"/>
    <w:rsid w:val="00444295"/>
    <w:rsid w:val="00446516"/>
    <w:rsid w:val="00447EC8"/>
    <w:rsid w:val="00456923"/>
    <w:rsid w:val="00456AB1"/>
    <w:rsid w:val="004668FB"/>
    <w:rsid w:val="004745F7"/>
    <w:rsid w:val="00477B1D"/>
    <w:rsid w:val="00482F0D"/>
    <w:rsid w:val="004874F8"/>
    <w:rsid w:val="00492021"/>
    <w:rsid w:val="00493463"/>
    <w:rsid w:val="0049489F"/>
    <w:rsid w:val="00494F58"/>
    <w:rsid w:val="004953B0"/>
    <w:rsid w:val="00495823"/>
    <w:rsid w:val="00497360"/>
    <w:rsid w:val="004A6B5E"/>
    <w:rsid w:val="004B27A8"/>
    <w:rsid w:val="004C3827"/>
    <w:rsid w:val="004D10E6"/>
    <w:rsid w:val="004D2858"/>
    <w:rsid w:val="004D3777"/>
    <w:rsid w:val="004D4CCA"/>
    <w:rsid w:val="004E453E"/>
    <w:rsid w:val="004E64A1"/>
    <w:rsid w:val="004F4801"/>
    <w:rsid w:val="004F4F18"/>
    <w:rsid w:val="00501EAE"/>
    <w:rsid w:val="00502B98"/>
    <w:rsid w:val="005032F7"/>
    <w:rsid w:val="005113BB"/>
    <w:rsid w:val="00521E9D"/>
    <w:rsid w:val="00522D69"/>
    <w:rsid w:val="005241BC"/>
    <w:rsid w:val="00525BBC"/>
    <w:rsid w:val="00526397"/>
    <w:rsid w:val="005305A8"/>
    <w:rsid w:val="0053230D"/>
    <w:rsid w:val="00534CD6"/>
    <w:rsid w:val="005362C7"/>
    <w:rsid w:val="00540748"/>
    <w:rsid w:val="005469BD"/>
    <w:rsid w:val="00552E46"/>
    <w:rsid w:val="00553B44"/>
    <w:rsid w:val="00555514"/>
    <w:rsid w:val="005569B3"/>
    <w:rsid w:val="00570C90"/>
    <w:rsid w:val="00582E21"/>
    <w:rsid w:val="005A255A"/>
    <w:rsid w:val="005A44BE"/>
    <w:rsid w:val="005B21AE"/>
    <w:rsid w:val="005B580D"/>
    <w:rsid w:val="005B5B0C"/>
    <w:rsid w:val="005B72E0"/>
    <w:rsid w:val="005C39A7"/>
    <w:rsid w:val="005C3F9C"/>
    <w:rsid w:val="005C77C7"/>
    <w:rsid w:val="005C7A5F"/>
    <w:rsid w:val="005D00F1"/>
    <w:rsid w:val="005D0225"/>
    <w:rsid w:val="005D31C8"/>
    <w:rsid w:val="005E1BEA"/>
    <w:rsid w:val="005E4C91"/>
    <w:rsid w:val="005E6FCE"/>
    <w:rsid w:val="005F677C"/>
    <w:rsid w:val="005F6C58"/>
    <w:rsid w:val="005F6DC1"/>
    <w:rsid w:val="0060346B"/>
    <w:rsid w:val="00603D61"/>
    <w:rsid w:val="00610B5D"/>
    <w:rsid w:val="006124D3"/>
    <w:rsid w:val="00614C6F"/>
    <w:rsid w:val="00623309"/>
    <w:rsid w:val="006264D1"/>
    <w:rsid w:val="006338F6"/>
    <w:rsid w:val="006344C5"/>
    <w:rsid w:val="0063580C"/>
    <w:rsid w:val="00635E07"/>
    <w:rsid w:val="0064444D"/>
    <w:rsid w:val="006460C9"/>
    <w:rsid w:val="00647959"/>
    <w:rsid w:val="00661D2A"/>
    <w:rsid w:val="006638D9"/>
    <w:rsid w:val="0066447C"/>
    <w:rsid w:val="006706CE"/>
    <w:rsid w:val="006711D0"/>
    <w:rsid w:val="00671C2A"/>
    <w:rsid w:val="00671CC6"/>
    <w:rsid w:val="00676D71"/>
    <w:rsid w:val="00677E33"/>
    <w:rsid w:val="00682F37"/>
    <w:rsid w:val="00683C6E"/>
    <w:rsid w:val="006843A7"/>
    <w:rsid w:val="006904C8"/>
    <w:rsid w:val="0069092A"/>
    <w:rsid w:val="00690A95"/>
    <w:rsid w:val="0069583B"/>
    <w:rsid w:val="006A0234"/>
    <w:rsid w:val="006A23D3"/>
    <w:rsid w:val="006A297E"/>
    <w:rsid w:val="006A33FE"/>
    <w:rsid w:val="006B2DD1"/>
    <w:rsid w:val="006B2EF5"/>
    <w:rsid w:val="006B74C1"/>
    <w:rsid w:val="006C0D6A"/>
    <w:rsid w:val="006C13E2"/>
    <w:rsid w:val="006C1644"/>
    <w:rsid w:val="006C56C1"/>
    <w:rsid w:val="006C7369"/>
    <w:rsid w:val="006D513E"/>
    <w:rsid w:val="006E0041"/>
    <w:rsid w:val="006E21A8"/>
    <w:rsid w:val="006E5E4D"/>
    <w:rsid w:val="006E74A8"/>
    <w:rsid w:val="006F1B4E"/>
    <w:rsid w:val="007021BD"/>
    <w:rsid w:val="0070628A"/>
    <w:rsid w:val="00706EC6"/>
    <w:rsid w:val="007104FE"/>
    <w:rsid w:val="00715FCA"/>
    <w:rsid w:val="00717C14"/>
    <w:rsid w:val="00723CFC"/>
    <w:rsid w:val="00724379"/>
    <w:rsid w:val="007246B5"/>
    <w:rsid w:val="00724D1C"/>
    <w:rsid w:val="00727975"/>
    <w:rsid w:val="00730783"/>
    <w:rsid w:val="0074213A"/>
    <w:rsid w:val="0075308F"/>
    <w:rsid w:val="007531DB"/>
    <w:rsid w:val="0075454F"/>
    <w:rsid w:val="00755FD9"/>
    <w:rsid w:val="00760683"/>
    <w:rsid w:val="00763A0F"/>
    <w:rsid w:val="007724C4"/>
    <w:rsid w:val="00780AA3"/>
    <w:rsid w:val="007810C1"/>
    <w:rsid w:val="007820E9"/>
    <w:rsid w:val="00790AFA"/>
    <w:rsid w:val="00792A0D"/>
    <w:rsid w:val="00793949"/>
    <w:rsid w:val="007939DA"/>
    <w:rsid w:val="00794584"/>
    <w:rsid w:val="00794F00"/>
    <w:rsid w:val="007A3511"/>
    <w:rsid w:val="007B068C"/>
    <w:rsid w:val="007B0F4B"/>
    <w:rsid w:val="007B1703"/>
    <w:rsid w:val="007B2A4D"/>
    <w:rsid w:val="007B2E1A"/>
    <w:rsid w:val="007B6600"/>
    <w:rsid w:val="007C000F"/>
    <w:rsid w:val="007C1C28"/>
    <w:rsid w:val="007C2DCF"/>
    <w:rsid w:val="007D0F5B"/>
    <w:rsid w:val="007D378F"/>
    <w:rsid w:val="007D6F34"/>
    <w:rsid w:val="007E207C"/>
    <w:rsid w:val="007F7C72"/>
    <w:rsid w:val="00801D4E"/>
    <w:rsid w:val="0080473D"/>
    <w:rsid w:val="00805BDB"/>
    <w:rsid w:val="00806F93"/>
    <w:rsid w:val="0081202B"/>
    <w:rsid w:val="00813F53"/>
    <w:rsid w:val="00821E44"/>
    <w:rsid w:val="00824309"/>
    <w:rsid w:val="00824A6B"/>
    <w:rsid w:val="0082525C"/>
    <w:rsid w:val="00826060"/>
    <w:rsid w:val="00826BB8"/>
    <w:rsid w:val="00826DC5"/>
    <w:rsid w:val="00827D3A"/>
    <w:rsid w:val="00831E54"/>
    <w:rsid w:val="008320F7"/>
    <w:rsid w:val="00835D8A"/>
    <w:rsid w:val="00836B6B"/>
    <w:rsid w:val="00841B3D"/>
    <w:rsid w:val="00844157"/>
    <w:rsid w:val="00852108"/>
    <w:rsid w:val="0085334E"/>
    <w:rsid w:val="008673F1"/>
    <w:rsid w:val="008720CE"/>
    <w:rsid w:val="0087214D"/>
    <w:rsid w:val="008755DE"/>
    <w:rsid w:val="00875A99"/>
    <w:rsid w:val="00884F2F"/>
    <w:rsid w:val="008876CF"/>
    <w:rsid w:val="008934E2"/>
    <w:rsid w:val="00893B83"/>
    <w:rsid w:val="008A0130"/>
    <w:rsid w:val="008A7C3B"/>
    <w:rsid w:val="008B0AED"/>
    <w:rsid w:val="008B7256"/>
    <w:rsid w:val="008C4980"/>
    <w:rsid w:val="008D07DE"/>
    <w:rsid w:val="008D09FF"/>
    <w:rsid w:val="008D31D0"/>
    <w:rsid w:val="008E04D5"/>
    <w:rsid w:val="008E1226"/>
    <w:rsid w:val="008E1658"/>
    <w:rsid w:val="008E60A4"/>
    <w:rsid w:val="008E7442"/>
    <w:rsid w:val="008F4338"/>
    <w:rsid w:val="008F6DC0"/>
    <w:rsid w:val="008F6E8E"/>
    <w:rsid w:val="008F7FCB"/>
    <w:rsid w:val="00901973"/>
    <w:rsid w:val="00903CD8"/>
    <w:rsid w:val="009072F8"/>
    <w:rsid w:val="00907FEC"/>
    <w:rsid w:val="009138EC"/>
    <w:rsid w:val="00913C2C"/>
    <w:rsid w:val="00921D06"/>
    <w:rsid w:val="00922D8F"/>
    <w:rsid w:val="009245E8"/>
    <w:rsid w:val="0092710D"/>
    <w:rsid w:val="009320A8"/>
    <w:rsid w:val="00940908"/>
    <w:rsid w:val="009428EB"/>
    <w:rsid w:val="00944655"/>
    <w:rsid w:val="0094694E"/>
    <w:rsid w:val="00946C3B"/>
    <w:rsid w:val="00947042"/>
    <w:rsid w:val="00950182"/>
    <w:rsid w:val="00951303"/>
    <w:rsid w:val="00952047"/>
    <w:rsid w:val="00952B07"/>
    <w:rsid w:val="0096178F"/>
    <w:rsid w:val="009643B6"/>
    <w:rsid w:val="00972D85"/>
    <w:rsid w:val="0097640F"/>
    <w:rsid w:val="00976C89"/>
    <w:rsid w:val="00977B31"/>
    <w:rsid w:val="00981915"/>
    <w:rsid w:val="0098459F"/>
    <w:rsid w:val="00985E49"/>
    <w:rsid w:val="00986A46"/>
    <w:rsid w:val="009914B3"/>
    <w:rsid w:val="00992D89"/>
    <w:rsid w:val="009931B2"/>
    <w:rsid w:val="009A43CE"/>
    <w:rsid w:val="009A7957"/>
    <w:rsid w:val="009A796D"/>
    <w:rsid w:val="009B0886"/>
    <w:rsid w:val="009B28BF"/>
    <w:rsid w:val="009B2C9D"/>
    <w:rsid w:val="009B7419"/>
    <w:rsid w:val="009C1C14"/>
    <w:rsid w:val="009C2F02"/>
    <w:rsid w:val="009C51C4"/>
    <w:rsid w:val="009E1C15"/>
    <w:rsid w:val="009E2A25"/>
    <w:rsid w:val="009E46A8"/>
    <w:rsid w:val="009E7C9D"/>
    <w:rsid w:val="009F1156"/>
    <w:rsid w:val="009F2BCE"/>
    <w:rsid w:val="009F3B13"/>
    <w:rsid w:val="009F3FC8"/>
    <w:rsid w:val="009F4A75"/>
    <w:rsid w:val="009F71DB"/>
    <w:rsid w:val="00A0104E"/>
    <w:rsid w:val="00A036BF"/>
    <w:rsid w:val="00A11638"/>
    <w:rsid w:val="00A12843"/>
    <w:rsid w:val="00A15C41"/>
    <w:rsid w:val="00A179AB"/>
    <w:rsid w:val="00A2298C"/>
    <w:rsid w:val="00A23406"/>
    <w:rsid w:val="00A2528F"/>
    <w:rsid w:val="00A256F6"/>
    <w:rsid w:val="00A27733"/>
    <w:rsid w:val="00A27D21"/>
    <w:rsid w:val="00A30399"/>
    <w:rsid w:val="00A32B1C"/>
    <w:rsid w:val="00A35668"/>
    <w:rsid w:val="00A40F2E"/>
    <w:rsid w:val="00A415E0"/>
    <w:rsid w:val="00A41E7C"/>
    <w:rsid w:val="00A435ED"/>
    <w:rsid w:val="00A4717B"/>
    <w:rsid w:val="00A5623E"/>
    <w:rsid w:val="00A57AFD"/>
    <w:rsid w:val="00A62362"/>
    <w:rsid w:val="00A62FEA"/>
    <w:rsid w:val="00A6524A"/>
    <w:rsid w:val="00A6701C"/>
    <w:rsid w:val="00A71C5D"/>
    <w:rsid w:val="00A73059"/>
    <w:rsid w:val="00A743FA"/>
    <w:rsid w:val="00A75DFF"/>
    <w:rsid w:val="00A841AA"/>
    <w:rsid w:val="00A93444"/>
    <w:rsid w:val="00A94CFB"/>
    <w:rsid w:val="00A95776"/>
    <w:rsid w:val="00A95DC1"/>
    <w:rsid w:val="00AB1677"/>
    <w:rsid w:val="00AB3516"/>
    <w:rsid w:val="00AC140F"/>
    <w:rsid w:val="00AC155F"/>
    <w:rsid w:val="00AC23E7"/>
    <w:rsid w:val="00AD6E44"/>
    <w:rsid w:val="00AE3697"/>
    <w:rsid w:val="00AE5777"/>
    <w:rsid w:val="00AF4486"/>
    <w:rsid w:val="00B015D4"/>
    <w:rsid w:val="00B0398F"/>
    <w:rsid w:val="00B03A3E"/>
    <w:rsid w:val="00B04CC2"/>
    <w:rsid w:val="00B12E21"/>
    <w:rsid w:val="00B132CA"/>
    <w:rsid w:val="00B17564"/>
    <w:rsid w:val="00B24021"/>
    <w:rsid w:val="00B3527D"/>
    <w:rsid w:val="00B35EFB"/>
    <w:rsid w:val="00B44EE8"/>
    <w:rsid w:val="00B454D6"/>
    <w:rsid w:val="00B55AFB"/>
    <w:rsid w:val="00B63B21"/>
    <w:rsid w:val="00B70B3F"/>
    <w:rsid w:val="00B70F30"/>
    <w:rsid w:val="00B75707"/>
    <w:rsid w:val="00B8092B"/>
    <w:rsid w:val="00B80CAA"/>
    <w:rsid w:val="00B850C4"/>
    <w:rsid w:val="00B86730"/>
    <w:rsid w:val="00B87439"/>
    <w:rsid w:val="00B87883"/>
    <w:rsid w:val="00B952C1"/>
    <w:rsid w:val="00BA15DF"/>
    <w:rsid w:val="00BA6CB2"/>
    <w:rsid w:val="00BB5F1B"/>
    <w:rsid w:val="00BB70E6"/>
    <w:rsid w:val="00BC0459"/>
    <w:rsid w:val="00BC04DD"/>
    <w:rsid w:val="00BC1B43"/>
    <w:rsid w:val="00BC5DA7"/>
    <w:rsid w:val="00BC6774"/>
    <w:rsid w:val="00BE3F66"/>
    <w:rsid w:val="00BE70E4"/>
    <w:rsid w:val="00BF14B2"/>
    <w:rsid w:val="00BF2813"/>
    <w:rsid w:val="00C04B98"/>
    <w:rsid w:val="00C064BF"/>
    <w:rsid w:val="00C0739F"/>
    <w:rsid w:val="00C10A19"/>
    <w:rsid w:val="00C10F52"/>
    <w:rsid w:val="00C156AD"/>
    <w:rsid w:val="00C162D4"/>
    <w:rsid w:val="00C205EA"/>
    <w:rsid w:val="00C20DB4"/>
    <w:rsid w:val="00C242AE"/>
    <w:rsid w:val="00C24578"/>
    <w:rsid w:val="00C25EAF"/>
    <w:rsid w:val="00C26F19"/>
    <w:rsid w:val="00C275E1"/>
    <w:rsid w:val="00C279F6"/>
    <w:rsid w:val="00C32F59"/>
    <w:rsid w:val="00C34B9C"/>
    <w:rsid w:val="00C354A5"/>
    <w:rsid w:val="00C3644A"/>
    <w:rsid w:val="00C40997"/>
    <w:rsid w:val="00C43C5D"/>
    <w:rsid w:val="00C468EF"/>
    <w:rsid w:val="00C56D71"/>
    <w:rsid w:val="00C60E72"/>
    <w:rsid w:val="00C63004"/>
    <w:rsid w:val="00C631BC"/>
    <w:rsid w:val="00C63EC8"/>
    <w:rsid w:val="00C659FB"/>
    <w:rsid w:val="00C66811"/>
    <w:rsid w:val="00C738A1"/>
    <w:rsid w:val="00C741AF"/>
    <w:rsid w:val="00C83755"/>
    <w:rsid w:val="00C83792"/>
    <w:rsid w:val="00C84E1E"/>
    <w:rsid w:val="00CA4F7E"/>
    <w:rsid w:val="00CA6D95"/>
    <w:rsid w:val="00CA78B3"/>
    <w:rsid w:val="00CA7A68"/>
    <w:rsid w:val="00CB1273"/>
    <w:rsid w:val="00CB40DC"/>
    <w:rsid w:val="00CC5B71"/>
    <w:rsid w:val="00CC5F99"/>
    <w:rsid w:val="00CD4FFB"/>
    <w:rsid w:val="00CD5E93"/>
    <w:rsid w:val="00CE2081"/>
    <w:rsid w:val="00CE60C9"/>
    <w:rsid w:val="00CE7AD9"/>
    <w:rsid w:val="00CF6ECF"/>
    <w:rsid w:val="00D02346"/>
    <w:rsid w:val="00D024C7"/>
    <w:rsid w:val="00D02995"/>
    <w:rsid w:val="00D04F41"/>
    <w:rsid w:val="00D0764B"/>
    <w:rsid w:val="00D20018"/>
    <w:rsid w:val="00D23F8B"/>
    <w:rsid w:val="00D27EAC"/>
    <w:rsid w:val="00D314AD"/>
    <w:rsid w:val="00D37195"/>
    <w:rsid w:val="00D4634D"/>
    <w:rsid w:val="00D50608"/>
    <w:rsid w:val="00D534BD"/>
    <w:rsid w:val="00D54E62"/>
    <w:rsid w:val="00D574A3"/>
    <w:rsid w:val="00D62F81"/>
    <w:rsid w:val="00D67495"/>
    <w:rsid w:val="00D75C91"/>
    <w:rsid w:val="00D815CD"/>
    <w:rsid w:val="00D84052"/>
    <w:rsid w:val="00D84863"/>
    <w:rsid w:val="00D963BC"/>
    <w:rsid w:val="00D96BE0"/>
    <w:rsid w:val="00DA10C4"/>
    <w:rsid w:val="00DA2157"/>
    <w:rsid w:val="00DA403F"/>
    <w:rsid w:val="00DA44AC"/>
    <w:rsid w:val="00DA4D05"/>
    <w:rsid w:val="00DB1159"/>
    <w:rsid w:val="00DB58AD"/>
    <w:rsid w:val="00DC3855"/>
    <w:rsid w:val="00DC5092"/>
    <w:rsid w:val="00DC6990"/>
    <w:rsid w:val="00DC7C4C"/>
    <w:rsid w:val="00DD6A5F"/>
    <w:rsid w:val="00DE39DA"/>
    <w:rsid w:val="00DF24B2"/>
    <w:rsid w:val="00DF3BD0"/>
    <w:rsid w:val="00DF6566"/>
    <w:rsid w:val="00E0743C"/>
    <w:rsid w:val="00E11674"/>
    <w:rsid w:val="00E1451E"/>
    <w:rsid w:val="00E1583B"/>
    <w:rsid w:val="00E31B8C"/>
    <w:rsid w:val="00E34480"/>
    <w:rsid w:val="00E37556"/>
    <w:rsid w:val="00E37A96"/>
    <w:rsid w:val="00E401A1"/>
    <w:rsid w:val="00E43297"/>
    <w:rsid w:val="00E4393A"/>
    <w:rsid w:val="00E50EE8"/>
    <w:rsid w:val="00E518D6"/>
    <w:rsid w:val="00E62E0B"/>
    <w:rsid w:val="00E6666C"/>
    <w:rsid w:val="00E6668D"/>
    <w:rsid w:val="00E67826"/>
    <w:rsid w:val="00E75E08"/>
    <w:rsid w:val="00E765B8"/>
    <w:rsid w:val="00E826A0"/>
    <w:rsid w:val="00E84F41"/>
    <w:rsid w:val="00E91468"/>
    <w:rsid w:val="00E93BD2"/>
    <w:rsid w:val="00E978B1"/>
    <w:rsid w:val="00EA1C3C"/>
    <w:rsid w:val="00EA44A7"/>
    <w:rsid w:val="00EA4BDF"/>
    <w:rsid w:val="00EA6918"/>
    <w:rsid w:val="00EB0D0E"/>
    <w:rsid w:val="00EB67DA"/>
    <w:rsid w:val="00EB6B5E"/>
    <w:rsid w:val="00EC2084"/>
    <w:rsid w:val="00EC31F6"/>
    <w:rsid w:val="00ED2D18"/>
    <w:rsid w:val="00ED30E0"/>
    <w:rsid w:val="00ED5F4C"/>
    <w:rsid w:val="00ED7205"/>
    <w:rsid w:val="00EE0DB2"/>
    <w:rsid w:val="00EE5CCB"/>
    <w:rsid w:val="00EF1D3C"/>
    <w:rsid w:val="00EF4592"/>
    <w:rsid w:val="00EF4823"/>
    <w:rsid w:val="00EF51FD"/>
    <w:rsid w:val="00F003C3"/>
    <w:rsid w:val="00F01CA5"/>
    <w:rsid w:val="00F11E8D"/>
    <w:rsid w:val="00F1498C"/>
    <w:rsid w:val="00F1658A"/>
    <w:rsid w:val="00F1660B"/>
    <w:rsid w:val="00F241C8"/>
    <w:rsid w:val="00F2785E"/>
    <w:rsid w:val="00F30B3A"/>
    <w:rsid w:val="00F4292B"/>
    <w:rsid w:val="00F4480C"/>
    <w:rsid w:val="00F53412"/>
    <w:rsid w:val="00F63234"/>
    <w:rsid w:val="00F653B4"/>
    <w:rsid w:val="00F65AD8"/>
    <w:rsid w:val="00F7367B"/>
    <w:rsid w:val="00F7562B"/>
    <w:rsid w:val="00F77819"/>
    <w:rsid w:val="00F8072C"/>
    <w:rsid w:val="00F81184"/>
    <w:rsid w:val="00F83555"/>
    <w:rsid w:val="00F86EF9"/>
    <w:rsid w:val="00F9196A"/>
    <w:rsid w:val="00F92DD7"/>
    <w:rsid w:val="00F952CC"/>
    <w:rsid w:val="00F95F48"/>
    <w:rsid w:val="00F96D9E"/>
    <w:rsid w:val="00FA0A76"/>
    <w:rsid w:val="00FA1E23"/>
    <w:rsid w:val="00FA5587"/>
    <w:rsid w:val="00FA6EA0"/>
    <w:rsid w:val="00FB3FC7"/>
    <w:rsid w:val="00FB668C"/>
    <w:rsid w:val="00FC5852"/>
    <w:rsid w:val="00FD4BB7"/>
    <w:rsid w:val="00FE20F2"/>
    <w:rsid w:val="00FE282E"/>
    <w:rsid w:val="00FE3FE9"/>
    <w:rsid w:val="00FE6651"/>
    <w:rsid w:val="00FF49A9"/>
    <w:rsid w:val="00FF4C63"/>
    <w:rsid w:val="00FF600D"/>
    <w:rsid w:val="0A342F28"/>
    <w:rsid w:val="0B91137A"/>
    <w:rsid w:val="1425632A"/>
    <w:rsid w:val="1797432E"/>
    <w:rsid w:val="1C5648D0"/>
    <w:rsid w:val="21B46321"/>
    <w:rsid w:val="2EDD1C4F"/>
    <w:rsid w:val="36E0725B"/>
    <w:rsid w:val="39237490"/>
    <w:rsid w:val="3F9410E8"/>
    <w:rsid w:val="46961DE3"/>
    <w:rsid w:val="473F5DDD"/>
    <w:rsid w:val="4D136399"/>
    <w:rsid w:val="4DEB33DA"/>
    <w:rsid w:val="504D5781"/>
    <w:rsid w:val="51556218"/>
    <w:rsid w:val="5A1F5D26"/>
    <w:rsid w:val="6A546842"/>
    <w:rsid w:val="728D495D"/>
    <w:rsid w:val="7A70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unhideWhenUsed/>
    <w:qFormat/>
    <w:uiPriority w:val="99"/>
    <w:pPr>
      <w:spacing w:line="240" w:lineRule="auto"/>
    </w:pPr>
    <w:rPr>
      <w:sz w:val="20"/>
      <w:szCs w:val="20"/>
    </w:rPr>
  </w:style>
  <w:style w:type="paragraph" w:styleId="3">
    <w:name w:val="Balloon Text"/>
    <w:basedOn w:val="1"/>
    <w:link w:val="21"/>
    <w:autoRedefine/>
    <w:semiHidden/>
    <w:unhideWhenUsed/>
    <w:qFormat/>
    <w:uiPriority w:val="99"/>
    <w:pPr>
      <w:spacing w:after="0" w:line="240" w:lineRule="auto"/>
    </w:pPr>
    <w:rPr>
      <w:sz w:val="18"/>
      <w:szCs w:val="18"/>
    </w:rPr>
  </w:style>
  <w:style w:type="paragraph" w:styleId="4">
    <w:name w:val="footer"/>
    <w:basedOn w:val="1"/>
    <w:link w:val="17"/>
    <w:autoRedefine/>
    <w:unhideWhenUsed/>
    <w:qFormat/>
    <w:uiPriority w:val="99"/>
    <w:pPr>
      <w:tabs>
        <w:tab w:val="center" w:pos="4680"/>
        <w:tab w:val="right" w:pos="9360"/>
      </w:tabs>
      <w:spacing w:after="0" w:line="240" w:lineRule="auto"/>
    </w:pPr>
  </w:style>
  <w:style w:type="paragraph" w:styleId="5">
    <w:name w:val="header"/>
    <w:basedOn w:val="1"/>
    <w:link w:val="16"/>
    <w:autoRedefine/>
    <w:unhideWhenUsed/>
    <w:qFormat/>
    <w:uiPriority w:val="99"/>
    <w:pPr>
      <w:tabs>
        <w:tab w:val="center" w:pos="4680"/>
        <w:tab w:val="right" w:pos="9360"/>
      </w:tabs>
      <w:spacing w:after="0" w:line="240" w:lineRule="auto"/>
    </w:pPr>
  </w:style>
  <w:style w:type="paragraph" w:styleId="6">
    <w:name w:val="toc 1"/>
    <w:basedOn w:val="1"/>
    <w:next w:val="1"/>
    <w:autoRedefine/>
    <w:qFormat/>
    <w:uiPriority w:val="39"/>
    <w:pPr>
      <w:widowControl w:val="0"/>
      <w:tabs>
        <w:tab w:val="right" w:leader="dot" w:pos="8296"/>
      </w:tabs>
      <w:spacing w:before="156" w:after="156" w:line="240" w:lineRule="auto"/>
      <w:jc w:val="both"/>
    </w:pPr>
    <w:rPr>
      <w:rFonts w:ascii="Times New Roman" w:hAnsi="Times New Roman" w:eastAsia="黑体" w:cs="Times New Roman"/>
      <w:sz w:val="32"/>
      <w:szCs w:val="32"/>
      <w14:ligatures w14:val="none"/>
    </w:rPr>
  </w:style>
  <w:style w:type="paragraph" w:styleId="7">
    <w:name w:val="toc 2"/>
    <w:basedOn w:val="1"/>
    <w:next w:val="1"/>
    <w:autoRedefine/>
    <w:qFormat/>
    <w:uiPriority w:val="39"/>
    <w:pPr>
      <w:widowControl w:val="0"/>
      <w:spacing w:after="0" w:line="240" w:lineRule="auto"/>
      <w:ind w:left="420" w:leftChars="200"/>
      <w:jc w:val="both"/>
    </w:pPr>
    <w:rPr>
      <w:sz w:val="21"/>
      <w14:ligatures w14:val="none"/>
    </w:rPr>
  </w:style>
  <w:style w:type="paragraph" w:styleId="8">
    <w:name w:val="Normal (Web)"/>
    <w:basedOn w:val="1"/>
    <w:autoRedefine/>
    <w:unhideWhenUsed/>
    <w:qFormat/>
    <w:uiPriority w:val="99"/>
    <w:pPr>
      <w:spacing w:before="100" w:beforeAutospacing="1" w:after="100" w:afterAutospacing="1" w:line="240" w:lineRule="auto"/>
    </w:pPr>
    <w:rPr>
      <w:rFonts w:ascii="宋体" w:hAnsi="宋体" w:eastAsia="宋体" w:cs="宋体"/>
      <w:kern w:val="0"/>
      <w:sz w:val="24"/>
      <w:szCs w:val="24"/>
      <w14:ligatures w14:val="none"/>
    </w:rPr>
  </w:style>
  <w:style w:type="paragraph" w:styleId="9">
    <w:name w:val="annotation subject"/>
    <w:basedOn w:val="2"/>
    <w:next w:val="2"/>
    <w:link w:val="19"/>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16"/>
      <w:szCs w:val="16"/>
    </w:rPr>
  </w:style>
  <w:style w:type="character" w:customStyle="1" w:styleId="16">
    <w:name w:val="页眉 字符"/>
    <w:basedOn w:val="12"/>
    <w:link w:val="5"/>
    <w:autoRedefine/>
    <w:qFormat/>
    <w:uiPriority w:val="99"/>
  </w:style>
  <w:style w:type="character" w:customStyle="1" w:styleId="17">
    <w:name w:val="页脚 字符"/>
    <w:basedOn w:val="12"/>
    <w:link w:val="4"/>
    <w:autoRedefine/>
    <w:qFormat/>
    <w:uiPriority w:val="99"/>
  </w:style>
  <w:style w:type="character" w:customStyle="1" w:styleId="18">
    <w:name w:val="批注文字 字符"/>
    <w:basedOn w:val="12"/>
    <w:link w:val="2"/>
    <w:autoRedefine/>
    <w:qFormat/>
    <w:uiPriority w:val="99"/>
    <w:rPr>
      <w:sz w:val="20"/>
      <w:szCs w:val="20"/>
    </w:rPr>
  </w:style>
  <w:style w:type="character" w:customStyle="1" w:styleId="19">
    <w:name w:val="批注主题 字符"/>
    <w:basedOn w:val="18"/>
    <w:link w:val="9"/>
    <w:autoRedefine/>
    <w:semiHidden/>
    <w:qFormat/>
    <w:uiPriority w:val="99"/>
    <w:rPr>
      <w:b/>
      <w:bCs/>
      <w:sz w:val="20"/>
      <w:szCs w:val="20"/>
    </w:rPr>
  </w:style>
  <w:style w:type="paragraph" w:customStyle="1" w:styleId="20">
    <w:name w:val="列项——（一级）"/>
    <w:autoRedefine/>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character" w:customStyle="1" w:styleId="21">
    <w:name w:val="批注框文本 字符"/>
    <w:basedOn w:val="12"/>
    <w:link w:val="3"/>
    <w:autoRedefine/>
    <w:semiHidden/>
    <w:qFormat/>
    <w:uiPriority w:val="99"/>
    <w:rPr>
      <w:sz w:val="18"/>
      <w:szCs w:val="18"/>
    </w:rPr>
  </w:style>
  <w:style w:type="paragraph" w:customStyle="1" w:styleId="22">
    <w:name w:val="List Paragraph1"/>
    <w:basedOn w:val="1"/>
    <w:autoRedefine/>
    <w:qFormat/>
    <w:uiPriority w:val="0"/>
    <w:pPr>
      <w:widowControl w:val="0"/>
      <w:spacing w:line="256" w:lineRule="auto"/>
      <w:ind w:left="720"/>
      <w:contextualSpacing/>
      <w:jc w:val="both"/>
    </w:pPr>
    <w:rPr>
      <w:rFonts w:ascii="Calibri" w:hAnsi="Calibri" w:eastAsia="宋体" w:cs="Times New Roman"/>
      <w:sz w:val="21"/>
      <w:szCs w:val="21"/>
      <w14:ligatures w14:val="none"/>
    </w:rPr>
  </w:style>
  <w:style w:type="paragraph" w:customStyle="1" w:styleId="23">
    <w:name w:val="正文1-1"/>
    <w:autoRedefine/>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styleId="24">
    <w:name w:val="List Paragraph"/>
    <w:basedOn w:val="1"/>
    <w:autoRedefine/>
    <w:qFormat/>
    <w:uiPriority w:val="34"/>
    <w:pPr>
      <w:ind w:firstLine="420" w:firstLineChars="200"/>
    </w:pPr>
  </w:style>
  <w:style w:type="paragraph" w:customStyle="1" w:styleId="25">
    <w:name w:val="Revision"/>
    <w:hidden/>
    <w:semiHidden/>
    <w:qFormat/>
    <w:uiPriority w:val="99"/>
    <w:rPr>
      <w:rFonts w:asciiTheme="minorHAnsi" w:hAnsiTheme="minorHAnsi" w:eastAsiaTheme="minorEastAsia" w:cstheme="minorBidi"/>
      <w:kern w:val="2"/>
      <w:sz w:val="2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B0F6F-0B7F-47D2-945F-CAC24095A5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1745</Words>
  <Characters>1755</Characters>
  <Lines>15</Lines>
  <Paragraphs>4</Paragraphs>
  <TotalTime>24</TotalTime>
  <ScaleCrop>false</ScaleCrop>
  <LinksUpToDate>false</LinksUpToDate>
  <CharactersWithSpaces>1783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2024-06-05T04:06:00Z</dcterms:created>
  <dc:creator>XING Ted</dc:creator>
  <cp:lastModifiedBy>海鹏浩</cp:lastModifiedBy>
  <cp:lastPrinted>2024-06-06T07:00:00Z</cp:lastPrinted>
  <dcterms:modified xsi:type="dcterms:W3CDTF">2024-08-22T01:52:49Z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2024-02-24T14:28:53Z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5e08b829-e2da-4ece-8407-622481cbe686</vt:lpwstr>
  </property>
  <property fmtid="{D5CDD505-2E9C-101B-9397-08002B2CF9AE}" pid="11" name="MSIP_Label_f43b7177-c66c-4b22-a350-7ee86f9a1e74_ContentBits">
    <vt:lpwstr>2</vt:lpwstr>
  </property>
  <property fmtid="{D5CDD505-2E9C-101B-9397-08002B2CF9AE}" pid="12" name="KSOProductBuildVer">
    <vt:lpwstr>2052-12.1.0.17827</vt:lpwstr>
  </property>
  <property fmtid="{D5CDD505-2E9C-101B-9397-08002B2CF9AE}" pid="13" name="ICV">
    <vt:lpwstr>1C1BF23367C04C3FB4431AEF87B2DEBF_13</vt:lpwstr>
  </property>
</Properties>
</file>